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07" w:rsidRDefault="00B43607" w:rsidP="009168C7"/>
    <w:p w:rsidR="00F269E2" w:rsidRDefault="00F269E2" w:rsidP="009168C7"/>
    <w:p w:rsidR="00FE6265" w:rsidRDefault="00FE6265"/>
    <w:p w:rsidR="00FE6265" w:rsidRDefault="00FE6265">
      <w:pPr>
        <w:rPr>
          <w:b/>
          <w:u w:val="single"/>
        </w:rPr>
      </w:pPr>
      <w:r w:rsidRPr="00FE6265">
        <w:rPr>
          <w:b/>
          <w:u w:val="single"/>
        </w:rPr>
        <w:t>Evaluering bruk av responssenter for omsorgsboliger - mai 2018</w:t>
      </w:r>
    </w:p>
    <w:p w:rsidR="00DE4CCB" w:rsidRDefault="00DE4CCB">
      <w:pPr>
        <w:rPr>
          <w:b/>
          <w:u w:val="single"/>
        </w:rPr>
      </w:pPr>
    </w:p>
    <w:p w:rsidR="00DE4CCB" w:rsidRPr="00DE4CCB" w:rsidRDefault="00DE4CCB">
      <w:r w:rsidRPr="00DE4CCB">
        <w:t>Deltagere:</w:t>
      </w:r>
    </w:p>
    <w:p w:rsidR="00DE4CCB" w:rsidRPr="00DE4CCB" w:rsidRDefault="00DE4CCB" w:rsidP="00DE4CCB">
      <w:pPr>
        <w:pStyle w:val="Listeavsnitt"/>
        <w:numPr>
          <w:ilvl w:val="0"/>
          <w:numId w:val="1"/>
        </w:numPr>
      </w:pPr>
      <w:r w:rsidRPr="00DE4CCB">
        <w:t>Øyvind Haarr</w:t>
      </w:r>
    </w:p>
    <w:p w:rsidR="00DE4CCB" w:rsidRPr="00DE4CCB" w:rsidRDefault="00DE4CCB" w:rsidP="00DE4CCB">
      <w:pPr>
        <w:pStyle w:val="Listeavsnitt"/>
        <w:numPr>
          <w:ilvl w:val="0"/>
          <w:numId w:val="1"/>
        </w:numPr>
      </w:pPr>
      <w:r w:rsidRPr="00DE4CCB">
        <w:t>Ilse van Lingen</w:t>
      </w:r>
    </w:p>
    <w:p w:rsidR="00DE4CCB" w:rsidRPr="00DE4CCB" w:rsidRDefault="00DE4CCB" w:rsidP="00DE4CCB">
      <w:pPr>
        <w:pStyle w:val="Listeavsnitt"/>
        <w:numPr>
          <w:ilvl w:val="0"/>
          <w:numId w:val="1"/>
        </w:numPr>
      </w:pPr>
      <w:r w:rsidRPr="00DE4CCB">
        <w:t>Karin Bjørndal</w:t>
      </w:r>
    </w:p>
    <w:p w:rsidR="00DE4CCB" w:rsidRPr="00DE4CCB" w:rsidRDefault="00DE4CCB" w:rsidP="00DE4CCB">
      <w:pPr>
        <w:pStyle w:val="Listeavsnitt"/>
        <w:numPr>
          <w:ilvl w:val="0"/>
          <w:numId w:val="1"/>
        </w:numPr>
      </w:pPr>
      <w:r w:rsidRPr="00DE4CCB">
        <w:t>Maahr Ludvig Eikeland</w:t>
      </w:r>
    </w:p>
    <w:p w:rsidR="00DE4CCB" w:rsidRPr="00DE4CCB" w:rsidRDefault="00DE4CCB" w:rsidP="00DE4CCB">
      <w:pPr>
        <w:pStyle w:val="Listeavsnitt"/>
        <w:numPr>
          <w:ilvl w:val="0"/>
          <w:numId w:val="1"/>
        </w:numPr>
      </w:pPr>
      <w:r w:rsidRPr="00DE4CCB">
        <w:t>Birgitte Engestøl</w:t>
      </w:r>
    </w:p>
    <w:p w:rsidR="00DE4CCB" w:rsidRPr="00DE4CCB" w:rsidRDefault="00DE4CCB" w:rsidP="00DE4CCB">
      <w:pPr>
        <w:pStyle w:val="Listeavsnitt"/>
        <w:numPr>
          <w:ilvl w:val="0"/>
          <w:numId w:val="1"/>
        </w:numPr>
      </w:pPr>
      <w:r w:rsidRPr="00DE4CCB">
        <w:t>Renate N Olstad</w:t>
      </w:r>
    </w:p>
    <w:p w:rsidR="00DE4CCB" w:rsidRPr="00FE6265" w:rsidRDefault="00DE4CCB">
      <w:pPr>
        <w:rPr>
          <w:b/>
          <w:u w:val="single"/>
        </w:rPr>
      </w:pPr>
    </w:p>
    <w:p w:rsidR="00FE6265" w:rsidRDefault="00FE6265"/>
    <w:tbl>
      <w:tblPr>
        <w:tblStyle w:val="Tabellrutenett"/>
        <w:tblW w:w="15519" w:type="dxa"/>
        <w:tblInd w:w="-743" w:type="dxa"/>
        <w:tblLayout w:type="fixed"/>
        <w:tblLook w:val="04A0" w:firstRow="1" w:lastRow="0" w:firstColumn="1" w:lastColumn="0" w:noHBand="0" w:noVBand="1"/>
      </w:tblPr>
      <w:tblGrid>
        <w:gridCol w:w="1417"/>
        <w:gridCol w:w="1782"/>
        <w:gridCol w:w="4105"/>
        <w:gridCol w:w="1697"/>
        <w:gridCol w:w="8"/>
        <w:gridCol w:w="1679"/>
        <w:gridCol w:w="1754"/>
        <w:gridCol w:w="16"/>
        <w:gridCol w:w="1765"/>
        <w:gridCol w:w="1286"/>
        <w:gridCol w:w="10"/>
      </w:tblGrid>
      <w:tr w:rsidR="00F269E2" w:rsidRPr="00B22B62" w:rsidTr="00FE6265">
        <w:tc>
          <w:tcPr>
            <w:tcW w:w="3199" w:type="dxa"/>
            <w:gridSpan w:val="2"/>
            <w:shd w:val="clear" w:color="auto" w:fill="BFBFBF" w:themeFill="background1" w:themeFillShade="BF"/>
          </w:tcPr>
          <w:p w:rsidR="00F269E2" w:rsidRPr="00B22B62" w:rsidRDefault="00F269E2" w:rsidP="00F269E2">
            <w:pPr>
              <w:rPr>
                <w:sz w:val="18"/>
                <w:szCs w:val="18"/>
              </w:rPr>
            </w:pPr>
            <w:r w:rsidRPr="00B22B62">
              <w:rPr>
                <w:sz w:val="18"/>
                <w:szCs w:val="18"/>
              </w:rPr>
              <w:t>Omsorgsboliger tar alle alarmer selv</w:t>
            </w:r>
          </w:p>
        </w:tc>
        <w:tc>
          <w:tcPr>
            <w:tcW w:w="5810" w:type="dxa"/>
            <w:gridSpan w:val="3"/>
            <w:shd w:val="clear" w:color="auto" w:fill="BFBFBF" w:themeFill="background1" w:themeFillShade="BF"/>
          </w:tcPr>
          <w:p w:rsidR="00F269E2" w:rsidRPr="00B22B62" w:rsidRDefault="00F269E2" w:rsidP="00F269E2">
            <w:pPr>
              <w:rPr>
                <w:sz w:val="18"/>
                <w:szCs w:val="18"/>
              </w:rPr>
            </w:pPr>
            <w:r w:rsidRPr="00B22B62">
              <w:rPr>
                <w:sz w:val="18"/>
                <w:szCs w:val="18"/>
              </w:rPr>
              <w:t>Responssenter tar alle alarmer</w:t>
            </w:r>
          </w:p>
        </w:tc>
        <w:tc>
          <w:tcPr>
            <w:tcW w:w="3449" w:type="dxa"/>
            <w:gridSpan w:val="3"/>
            <w:shd w:val="clear" w:color="auto" w:fill="BFBFBF" w:themeFill="background1" w:themeFillShade="BF"/>
          </w:tcPr>
          <w:p w:rsidR="00F269E2" w:rsidRPr="00B22B62" w:rsidRDefault="00F269E2" w:rsidP="00F269E2">
            <w:pPr>
              <w:rPr>
                <w:rFonts w:eastAsia="Times New Roman" w:cs="Arial"/>
                <w:color w:val="000000"/>
                <w:sz w:val="18"/>
                <w:szCs w:val="18"/>
                <w:lang w:eastAsia="nb-NO"/>
              </w:rPr>
            </w:pPr>
            <w:r w:rsidRPr="00B22B62">
              <w:rPr>
                <w:rFonts w:eastAsia="Times New Roman" w:cs="Arial"/>
                <w:color w:val="000000"/>
                <w:sz w:val="18"/>
                <w:szCs w:val="18"/>
                <w:lang w:eastAsia="nb-NO"/>
              </w:rPr>
              <w:t>Responssenteret er backup</w:t>
            </w:r>
          </w:p>
        </w:tc>
        <w:tc>
          <w:tcPr>
            <w:tcW w:w="3061" w:type="dxa"/>
            <w:gridSpan w:val="3"/>
            <w:shd w:val="clear" w:color="auto" w:fill="BFBFBF" w:themeFill="background1" w:themeFillShade="BF"/>
          </w:tcPr>
          <w:p w:rsidR="00F269E2" w:rsidRPr="00B22B62" w:rsidRDefault="00F269E2" w:rsidP="00F269E2">
            <w:pPr>
              <w:rPr>
                <w:sz w:val="18"/>
                <w:szCs w:val="18"/>
              </w:rPr>
            </w:pPr>
            <w:r w:rsidRPr="00B22B62">
              <w:rPr>
                <w:sz w:val="18"/>
                <w:szCs w:val="18"/>
              </w:rPr>
              <w:t>Responssenter på del av døgn med høy aktivitet</w:t>
            </w:r>
          </w:p>
        </w:tc>
      </w:tr>
      <w:tr w:rsidR="00644B88" w:rsidRPr="00B22B62" w:rsidTr="00FE6265">
        <w:trPr>
          <w:gridAfter w:val="1"/>
          <w:wAfter w:w="10" w:type="dxa"/>
        </w:trPr>
        <w:tc>
          <w:tcPr>
            <w:tcW w:w="1417" w:type="dxa"/>
          </w:tcPr>
          <w:p w:rsidR="00F269E2" w:rsidRPr="00B22B62" w:rsidRDefault="00F269E2" w:rsidP="00F269E2">
            <w:pPr>
              <w:rPr>
                <w:sz w:val="18"/>
                <w:szCs w:val="18"/>
              </w:rPr>
            </w:pPr>
            <w:r w:rsidRPr="00B22B62">
              <w:rPr>
                <w:sz w:val="18"/>
                <w:szCs w:val="18"/>
              </w:rPr>
              <w:t>Fordeler</w:t>
            </w:r>
          </w:p>
        </w:tc>
        <w:tc>
          <w:tcPr>
            <w:tcW w:w="1782" w:type="dxa"/>
          </w:tcPr>
          <w:p w:rsidR="00F269E2" w:rsidRPr="00B22B62" w:rsidRDefault="00F269E2" w:rsidP="00F269E2">
            <w:pPr>
              <w:rPr>
                <w:sz w:val="18"/>
                <w:szCs w:val="18"/>
              </w:rPr>
            </w:pPr>
            <w:r w:rsidRPr="00B22B62">
              <w:rPr>
                <w:sz w:val="18"/>
                <w:szCs w:val="18"/>
              </w:rPr>
              <w:t>Ulemper</w:t>
            </w:r>
          </w:p>
        </w:tc>
        <w:tc>
          <w:tcPr>
            <w:tcW w:w="4105" w:type="dxa"/>
          </w:tcPr>
          <w:p w:rsidR="00F269E2" w:rsidRPr="00B22B62" w:rsidRDefault="00F269E2" w:rsidP="00F269E2">
            <w:pPr>
              <w:rPr>
                <w:sz w:val="18"/>
                <w:szCs w:val="18"/>
              </w:rPr>
            </w:pPr>
            <w:r w:rsidRPr="00B22B62">
              <w:rPr>
                <w:sz w:val="18"/>
                <w:szCs w:val="18"/>
              </w:rPr>
              <w:t>Fordeler</w:t>
            </w:r>
          </w:p>
        </w:tc>
        <w:tc>
          <w:tcPr>
            <w:tcW w:w="1697" w:type="dxa"/>
          </w:tcPr>
          <w:p w:rsidR="00F269E2" w:rsidRPr="00B22B62" w:rsidRDefault="00F269E2" w:rsidP="00F269E2">
            <w:pPr>
              <w:rPr>
                <w:sz w:val="18"/>
                <w:szCs w:val="18"/>
              </w:rPr>
            </w:pPr>
            <w:r w:rsidRPr="00B22B62">
              <w:rPr>
                <w:sz w:val="18"/>
                <w:szCs w:val="18"/>
              </w:rPr>
              <w:t>Ulemper</w:t>
            </w:r>
          </w:p>
        </w:tc>
        <w:tc>
          <w:tcPr>
            <w:tcW w:w="1687" w:type="dxa"/>
            <w:gridSpan w:val="2"/>
          </w:tcPr>
          <w:p w:rsidR="00F269E2" w:rsidRPr="00B22B62" w:rsidRDefault="00F269E2" w:rsidP="00F269E2">
            <w:pPr>
              <w:rPr>
                <w:sz w:val="18"/>
                <w:szCs w:val="18"/>
              </w:rPr>
            </w:pPr>
            <w:r w:rsidRPr="00B22B62">
              <w:rPr>
                <w:sz w:val="18"/>
                <w:szCs w:val="18"/>
              </w:rPr>
              <w:t>Fordeler</w:t>
            </w:r>
          </w:p>
        </w:tc>
        <w:tc>
          <w:tcPr>
            <w:tcW w:w="1754" w:type="dxa"/>
          </w:tcPr>
          <w:p w:rsidR="00F269E2" w:rsidRPr="00B22B62" w:rsidRDefault="00F269E2" w:rsidP="00F269E2">
            <w:pPr>
              <w:rPr>
                <w:sz w:val="18"/>
                <w:szCs w:val="18"/>
              </w:rPr>
            </w:pPr>
            <w:r w:rsidRPr="00B22B62">
              <w:rPr>
                <w:sz w:val="18"/>
                <w:szCs w:val="18"/>
              </w:rPr>
              <w:t>Ulemper</w:t>
            </w:r>
          </w:p>
        </w:tc>
        <w:tc>
          <w:tcPr>
            <w:tcW w:w="1781" w:type="dxa"/>
            <w:gridSpan w:val="2"/>
          </w:tcPr>
          <w:p w:rsidR="00F269E2" w:rsidRPr="00B22B62" w:rsidRDefault="00F269E2" w:rsidP="00F269E2">
            <w:pPr>
              <w:rPr>
                <w:sz w:val="18"/>
                <w:szCs w:val="18"/>
              </w:rPr>
            </w:pPr>
            <w:r w:rsidRPr="00B22B62">
              <w:rPr>
                <w:sz w:val="18"/>
                <w:szCs w:val="18"/>
              </w:rPr>
              <w:t>Fordeler</w:t>
            </w:r>
          </w:p>
        </w:tc>
        <w:tc>
          <w:tcPr>
            <w:tcW w:w="1286" w:type="dxa"/>
          </w:tcPr>
          <w:p w:rsidR="00F269E2" w:rsidRPr="00B22B62" w:rsidRDefault="00F269E2" w:rsidP="00F269E2">
            <w:pPr>
              <w:rPr>
                <w:sz w:val="18"/>
                <w:szCs w:val="18"/>
              </w:rPr>
            </w:pPr>
            <w:r w:rsidRPr="00B22B62">
              <w:rPr>
                <w:sz w:val="18"/>
                <w:szCs w:val="18"/>
              </w:rPr>
              <w:t>Ulemper</w:t>
            </w:r>
          </w:p>
        </w:tc>
      </w:tr>
      <w:tr w:rsidR="00644B88" w:rsidRPr="00B22B62" w:rsidTr="00FE6265">
        <w:trPr>
          <w:gridAfter w:val="1"/>
          <w:wAfter w:w="10" w:type="dxa"/>
        </w:trPr>
        <w:tc>
          <w:tcPr>
            <w:tcW w:w="1417" w:type="dxa"/>
          </w:tcPr>
          <w:p w:rsidR="00F269E2" w:rsidRPr="00B22B62" w:rsidRDefault="00870913" w:rsidP="00870913">
            <w:pPr>
              <w:rPr>
                <w:sz w:val="18"/>
                <w:szCs w:val="18"/>
              </w:rPr>
            </w:pPr>
            <w:r w:rsidRPr="00B22B62">
              <w:rPr>
                <w:sz w:val="18"/>
                <w:szCs w:val="18"/>
              </w:rPr>
              <w:t>Den som tar alarmen har g</w:t>
            </w:r>
            <w:r w:rsidR="00D90197" w:rsidRPr="00B22B62">
              <w:rPr>
                <w:sz w:val="18"/>
                <w:szCs w:val="18"/>
              </w:rPr>
              <w:t>od kjennskap til bruker</w:t>
            </w:r>
          </w:p>
        </w:tc>
        <w:tc>
          <w:tcPr>
            <w:tcW w:w="1782" w:type="dxa"/>
          </w:tcPr>
          <w:p w:rsidR="00F269E2" w:rsidRPr="00B22B62" w:rsidRDefault="00D90197" w:rsidP="00F269E2">
            <w:pPr>
              <w:rPr>
                <w:sz w:val="18"/>
                <w:szCs w:val="18"/>
              </w:rPr>
            </w:pPr>
            <w:r w:rsidRPr="00B22B62">
              <w:rPr>
                <w:sz w:val="18"/>
                <w:szCs w:val="18"/>
              </w:rPr>
              <w:t>Kan få flere alarmer</w:t>
            </w:r>
          </w:p>
        </w:tc>
        <w:tc>
          <w:tcPr>
            <w:tcW w:w="4105" w:type="dxa"/>
            <w:tcBorders>
              <w:bottom w:val="single" w:sz="4" w:space="0" w:color="auto"/>
            </w:tcBorders>
          </w:tcPr>
          <w:p w:rsidR="00F269E2" w:rsidRPr="00B22B62" w:rsidRDefault="00964F53" w:rsidP="00F269E2">
            <w:pPr>
              <w:rPr>
                <w:sz w:val="18"/>
                <w:szCs w:val="18"/>
              </w:rPr>
            </w:pPr>
            <w:r w:rsidRPr="00B22B62">
              <w:rPr>
                <w:rFonts w:cs="Arial"/>
                <w:color w:val="000000"/>
                <w:sz w:val="18"/>
                <w:szCs w:val="18"/>
              </w:rPr>
              <w:t>Brukerne er fornøyde, opplever seg ivaretatt ift trygghet og oppfølging</w:t>
            </w:r>
          </w:p>
        </w:tc>
        <w:tc>
          <w:tcPr>
            <w:tcW w:w="1697" w:type="dxa"/>
          </w:tcPr>
          <w:p w:rsidR="00F269E2" w:rsidRPr="00B22B62" w:rsidRDefault="00BD572B" w:rsidP="00E12B03">
            <w:pPr>
              <w:rPr>
                <w:sz w:val="18"/>
                <w:szCs w:val="18"/>
              </w:rPr>
            </w:pPr>
            <w:r w:rsidRPr="00B22B62">
              <w:rPr>
                <w:sz w:val="18"/>
                <w:szCs w:val="18"/>
              </w:rPr>
              <w:t>Tar mye av kapasitet på RS</w:t>
            </w:r>
            <w:r w:rsidR="00E12B03" w:rsidRPr="00B22B62">
              <w:rPr>
                <w:sz w:val="18"/>
                <w:szCs w:val="18"/>
              </w:rPr>
              <w:t>. Dette gir lengre svartid totalt for responssenteret totalt sett</w:t>
            </w:r>
          </w:p>
        </w:tc>
        <w:tc>
          <w:tcPr>
            <w:tcW w:w="1687" w:type="dxa"/>
            <w:gridSpan w:val="2"/>
          </w:tcPr>
          <w:p w:rsidR="00F269E2" w:rsidRPr="00B22B62" w:rsidRDefault="00170B45" w:rsidP="00F269E2">
            <w:pPr>
              <w:rPr>
                <w:sz w:val="18"/>
                <w:szCs w:val="18"/>
              </w:rPr>
            </w:pPr>
            <w:r w:rsidRPr="00B22B62">
              <w:rPr>
                <w:sz w:val="18"/>
                <w:szCs w:val="18"/>
              </w:rPr>
              <w:t>Nyttig for uh</w:t>
            </w:r>
            <w:r w:rsidR="002F6CF4" w:rsidRPr="00B22B62">
              <w:rPr>
                <w:sz w:val="18"/>
                <w:szCs w:val="18"/>
              </w:rPr>
              <w:t>-boliger</w:t>
            </w:r>
          </w:p>
        </w:tc>
        <w:tc>
          <w:tcPr>
            <w:tcW w:w="1754" w:type="dxa"/>
          </w:tcPr>
          <w:p w:rsidR="00F269E2" w:rsidRPr="00B22B62" w:rsidRDefault="007333BE" w:rsidP="00F269E2">
            <w:pPr>
              <w:rPr>
                <w:sz w:val="18"/>
                <w:szCs w:val="18"/>
              </w:rPr>
            </w:pPr>
            <w:r w:rsidRPr="00B22B62">
              <w:rPr>
                <w:sz w:val="18"/>
                <w:szCs w:val="18"/>
              </w:rPr>
              <w:t>E</w:t>
            </w:r>
            <w:r w:rsidR="00331B90" w:rsidRPr="00B22B62">
              <w:rPr>
                <w:sz w:val="18"/>
                <w:szCs w:val="18"/>
              </w:rPr>
              <w:t xml:space="preserve">rfaringer viser at det kommer mange back up alarmer inn, mange som ikke skrur av som de skal, eller velger bevisst og legge vekk telefonene. Dette genererer lang tid pr alarm. </w:t>
            </w:r>
          </w:p>
        </w:tc>
        <w:tc>
          <w:tcPr>
            <w:tcW w:w="1781" w:type="dxa"/>
            <w:gridSpan w:val="2"/>
          </w:tcPr>
          <w:p w:rsidR="00F269E2" w:rsidRPr="00B22B62" w:rsidRDefault="001132C4" w:rsidP="00F269E2">
            <w:pPr>
              <w:rPr>
                <w:sz w:val="18"/>
                <w:szCs w:val="18"/>
              </w:rPr>
            </w:pPr>
            <w:r w:rsidRPr="00B22B62">
              <w:rPr>
                <w:sz w:val="18"/>
                <w:szCs w:val="18"/>
              </w:rPr>
              <w:t>Svært positivt for omsorgsboligene, siden personell også har høy aktivitet i samme periodene</w:t>
            </w:r>
          </w:p>
        </w:tc>
        <w:tc>
          <w:tcPr>
            <w:tcW w:w="1286" w:type="dxa"/>
          </w:tcPr>
          <w:p w:rsidR="00F269E2" w:rsidRPr="00B22B62" w:rsidRDefault="00FC607F" w:rsidP="00FC607F">
            <w:pPr>
              <w:rPr>
                <w:sz w:val="18"/>
                <w:szCs w:val="18"/>
              </w:rPr>
            </w:pPr>
            <w:r w:rsidRPr="00B22B62">
              <w:rPr>
                <w:sz w:val="18"/>
                <w:szCs w:val="18"/>
              </w:rPr>
              <w:t>Krevende for responssenteret, da perioden sammenfaller med samme høyaktivitetsperiode for alle brukerne</w:t>
            </w:r>
          </w:p>
        </w:tc>
      </w:tr>
      <w:tr w:rsidR="00644B88" w:rsidRPr="00B22B62" w:rsidTr="00FE6265">
        <w:trPr>
          <w:gridAfter w:val="1"/>
          <w:wAfter w:w="10" w:type="dxa"/>
        </w:trPr>
        <w:tc>
          <w:tcPr>
            <w:tcW w:w="1417" w:type="dxa"/>
          </w:tcPr>
          <w:p w:rsidR="00E12B03" w:rsidRPr="00B22B62" w:rsidRDefault="00E12B03" w:rsidP="00D90197">
            <w:pPr>
              <w:rPr>
                <w:sz w:val="18"/>
                <w:szCs w:val="18"/>
              </w:rPr>
            </w:pPr>
            <w:r w:rsidRPr="00B22B62">
              <w:rPr>
                <w:sz w:val="18"/>
                <w:szCs w:val="18"/>
              </w:rPr>
              <w:t>Reduserer pågang på responssenter, og kan statistisk sett gi kortere svartid på RS.</w:t>
            </w:r>
          </w:p>
        </w:tc>
        <w:tc>
          <w:tcPr>
            <w:tcW w:w="1782" w:type="dxa"/>
          </w:tcPr>
          <w:p w:rsidR="00E12B03" w:rsidRPr="00B22B62" w:rsidRDefault="00E12B03" w:rsidP="00BD572B">
            <w:pPr>
              <w:rPr>
                <w:sz w:val="18"/>
                <w:szCs w:val="18"/>
              </w:rPr>
            </w:pPr>
            <w:r w:rsidRPr="00B22B62">
              <w:rPr>
                <w:sz w:val="18"/>
                <w:szCs w:val="18"/>
              </w:rPr>
              <w:t>Vanskeligere å grensesette brukerne</w:t>
            </w:r>
            <w:r w:rsidR="00644B88" w:rsidRPr="00B22B62">
              <w:rPr>
                <w:sz w:val="18"/>
                <w:szCs w:val="18"/>
              </w:rPr>
              <w:t xml:space="preserve"> som kan øke alarmbruken og forsterke alle utfordringene</w:t>
            </w: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E12B03" w:rsidP="00BD572B">
            <w:pPr>
              <w:rPr>
                <w:rFonts w:cs="Arial"/>
                <w:sz w:val="18"/>
                <w:szCs w:val="18"/>
              </w:rPr>
            </w:pPr>
            <w:r w:rsidRPr="00B22B62">
              <w:rPr>
                <w:rFonts w:cs="Arial"/>
                <w:sz w:val="18"/>
                <w:szCs w:val="18"/>
              </w:rPr>
              <w:t>Gevinstmulighet med at en kan hindre vekst</w:t>
            </w:r>
          </w:p>
        </w:tc>
        <w:tc>
          <w:tcPr>
            <w:tcW w:w="1697" w:type="dxa"/>
          </w:tcPr>
          <w:p w:rsidR="00E12B03" w:rsidRPr="00B22B62" w:rsidRDefault="00E12B03" w:rsidP="00BD572B">
            <w:pPr>
              <w:rPr>
                <w:sz w:val="18"/>
                <w:szCs w:val="18"/>
              </w:rPr>
            </w:pPr>
            <w:r w:rsidRPr="00B22B62">
              <w:rPr>
                <w:sz w:val="18"/>
                <w:szCs w:val="18"/>
              </w:rPr>
              <w:t xml:space="preserve">Enkelte brukere ønsker å ha direkte kontakt, men det gjelder svært få. </w:t>
            </w:r>
          </w:p>
        </w:tc>
        <w:tc>
          <w:tcPr>
            <w:tcW w:w="1687" w:type="dxa"/>
            <w:gridSpan w:val="2"/>
          </w:tcPr>
          <w:p w:rsidR="00E12B03" w:rsidRPr="00B22B62" w:rsidRDefault="00E12B03" w:rsidP="00BD572B">
            <w:pPr>
              <w:rPr>
                <w:sz w:val="18"/>
                <w:szCs w:val="18"/>
              </w:rPr>
            </w:pPr>
            <w:r w:rsidRPr="00B22B62">
              <w:rPr>
                <w:sz w:val="18"/>
                <w:szCs w:val="18"/>
              </w:rPr>
              <w:t>Kan være aktuelt for enkelte brukere der det vurderes som hensiktsmessig.</w:t>
            </w:r>
          </w:p>
        </w:tc>
        <w:tc>
          <w:tcPr>
            <w:tcW w:w="1754" w:type="dxa"/>
          </w:tcPr>
          <w:p w:rsidR="00E12B03" w:rsidRPr="00B22B62" w:rsidRDefault="00E12B03" w:rsidP="00BD572B">
            <w:pPr>
              <w:rPr>
                <w:sz w:val="18"/>
                <w:szCs w:val="18"/>
              </w:rPr>
            </w:pPr>
          </w:p>
        </w:tc>
        <w:tc>
          <w:tcPr>
            <w:tcW w:w="1781" w:type="dxa"/>
            <w:gridSpan w:val="2"/>
          </w:tcPr>
          <w:p w:rsidR="00E12B03" w:rsidRPr="00B22B62" w:rsidRDefault="00FD4A9E" w:rsidP="00BD572B">
            <w:pPr>
              <w:rPr>
                <w:sz w:val="18"/>
                <w:szCs w:val="18"/>
              </w:rPr>
            </w:pPr>
            <w:r w:rsidRPr="00B22B62">
              <w:rPr>
                <w:sz w:val="18"/>
                <w:szCs w:val="18"/>
              </w:rPr>
              <w:t>Hvis RS tar alarmer i stell tiden formiddag og kveld, kan det være en bedre løsning en å slutte helt med det.</w:t>
            </w: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644B88" w:rsidP="00BD572B">
            <w:pPr>
              <w:rPr>
                <w:sz w:val="18"/>
                <w:szCs w:val="18"/>
              </w:rPr>
            </w:pPr>
            <w:r w:rsidRPr="00B22B62">
              <w:rPr>
                <w:sz w:val="18"/>
                <w:szCs w:val="18"/>
              </w:rPr>
              <w:t>rimeligere</w:t>
            </w:r>
          </w:p>
        </w:tc>
        <w:tc>
          <w:tcPr>
            <w:tcW w:w="1782" w:type="dxa"/>
          </w:tcPr>
          <w:p w:rsidR="00E12B03" w:rsidRPr="00B22B62" w:rsidRDefault="00FD4A9E" w:rsidP="00BD572B">
            <w:pPr>
              <w:rPr>
                <w:sz w:val="18"/>
                <w:szCs w:val="18"/>
              </w:rPr>
            </w:pPr>
            <w:r w:rsidRPr="00B22B62">
              <w:rPr>
                <w:sz w:val="18"/>
                <w:szCs w:val="18"/>
              </w:rPr>
              <w:t xml:space="preserve">Svært mye </w:t>
            </w:r>
            <w:r w:rsidR="00E12B03" w:rsidRPr="00B22B62">
              <w:rPr>
                <w:sz w:val="18"/>
                <w:szCs w:val="18"/>
              </w:rPr>
              <w:t>Forstyrrelser i arbeidsoppgaver, forsinkelser og lavere kvalitet.</w:t>
            </w: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E12B03" w:rsidP="00BD572B">
            <w:pPr>
              <w:rPr>
                <w:rFonts w:cs="Arial"/>
                <w:sz w:val="18"/>
                <w:szCs w:val="18"/>
              </w:rPr>
            </w:pPr>
            <w:r w:rsidRPr="00B22B62">
              <w:rPr>
                <w:rFonts w:cs="Arial"/>
                <w:sz w:val="18"/>
                <w:szCs w:val="18"/>
              </w:rPr>
              <w:t>Bedre for ansatte i omsorgsboligene ift AML/Stress. Slipper å bruke tid på alarmsamtaler, får kun korte telefoner fra RS</w:t>
            </w:r>
          </w:p>
        </w:tc>
        <w:tc>
          <w:tcPr>
            <w:tcW w:w="1697" w:type="dxa"/>
          </w:tcPr>
          <w:p w:rsidR="00E12B03" w:rsidRPr="00B22B62" w:rsidRDefault="00E12B03" w:rsidP="00BD572B">
            <w:pPr>
              <w:rPr>
                <w:sz w:val="18"/>
                <w:szCs w:val="18"/>
              </w:rPr>
            </w:pPr>
            <w:r w:rsidRPr="00B22B62">
              <w:rPr>
                <w:sz w:val="18"/>
                <w:szCs w:val="18"/>
              </w:rPr>
              <w:t>Responstiden ved utrykning vil øke litt, men dette er ubetydelig</w:t>
            </w:r>
            <w:r w:rsidR="00644B88" w:rsidRPr="00B22B62">
              <w:rPr>
                <w:sz w:val="18"/>
                <w:szCs w:val="18"/>
              </w:rPr>
              <w:t xml:space="preserve">  Fpr omsorgsboligene er responstiden tilnærmet lik, muligens til og med kortere enn tidligere</w:t>
            </w:r>
            <w:r w:rsidRPr="00B22B62">
              <w:rPr>
                <w:sz w:val="18"/>
                <w:szCs w:val="18"/>
              </w:rPr>
              <w:t>.</w:t>
            </w:r>
          </w:p>
        </w:tc>
        <w:tc>
          <w:tcPr>
            <w:tcW w:w="1687" w:type="dxa"/>
            <w:gridSpan w:val="2"/>
          </w:tcPr>
          <w:p w:rsidR="00E12B03" w:rsidRPr="00B22B62" w:rsidRDefault="00FD4A9E" w:rsidP="00BD572B">
            <w:pPr>
              <w:rPr>
                <w:sz w:val="18"/>
                <w:szCs w:val="18"/>
              </w:rPr>
            </w:pPr>
            <w:r w:rsidRPr="00B22B62">
              <w:rPr>
                <w:sz w:val="18"/>
                <w:szCs w:val="18"/>
              </w:rPr>
              <w:t>Kan være aktuelt for natten på omsorgsboligene? Da trenger de bare 1 stk telefon</w:t>
            </w: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E12B03" w:rsidP="00BD572B">
            <w:pPr>
              <w:rPr>
                <w:sz w:val="18"/>
                <w:szCs w:val="18"/>
              </w:rPr>
            </w:pPr>
          </w:p>
        </w:tc>
        <w:tc>
          <w:tcPr>
            <w:tcW w:w="1782" w:type="dxa"/>
          </w:tcPr>
          <w:p w:rsidR="00E12B03" w:rsidRPr="00B22B62" w:rsidRDefault="00E12B03" w:rsidP="00BD572B">
            <w:pPr>
              <w:rPr>
                <w:sz w:val="18"/>
                <w:szCs w:val="18"/>
              </w:rPr>
            </w:pPr>
            <w:r w:rsidRPr="00B22B62">
              <w:rPr>
                <w:sz w:val="18"/>
                <w:szCs w:val="18"/>
              </w:rPr>
              <w:t>Utfordring å ivareta taushetsplikt.</w:t>
            </w:r>
            <w:r w:rsidR="00644B88" w:rsidRPr="00B22B62">
              <w:rPr>
                <w:sz w:val="18"/>
                <w:szCs w:val="18"/>
              </w:rPr>
              <w:t xml:space="preserve"> Stor utfordring </w:t>
            </w: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E12B03" w:rsidP="00BD572B">
            <w:pPr>
              <w:rPr>
                <w:rFonts w:cs="Arial"/>
                <w:sz w:val="18"/>
                <w:szCs w:val="18"/>
              </w:rPr>
            </w:pPr>
            <w:r w:rsidRPr="00B22B62">
              <w:rPr>
                <w:rFonts w:cs="Arial"/>
                <w:sz w:val="18"/>
                <w:szCs w:val="18"/>
              </w:rPr>
              <w:t xml:space="preserve">Kvaliteten på håndtering av alarmer er veldig god </w:t>
            </w:r>
          </w:p>
        </w:tc>
        <w:tc>
          <w:tcPr>
            <w:tcW w:w="1697" w:type="dxa"/>
          </w:tcPr>
          <w:p w:rsidR="00E12B03" w:rsidRPr="00B22B62" w:rsidRDefault="00E12B03" w:rsidP="00BD572B">
            <w:pPr>
              <w:rPr>
                <w:sz w:val="18"/>
                <w:szCs w:val="18"/>
              </w:rPr>
            </w:pPr>
            <w:r w:rsidRPr="00B22B62">
              <w:rPr>
                <w:rFonts w:cs="Arial"/>
                <w:sz w:val="18"/>
                <w:szCs w:val="18"/>
              </w:rPr>
              <w:t>Få muligheter for å ta ut økonomiske gevinster</w:t>
            </w:r>
          </w:p>
        </w:tc>
        <w:tc>
          <w:tcPr>
            <w:tcW w:w="1687" w:type="dxa"/>
            <w:gridSpan w:val="2"/>
          </w:tcPr>
          <w:p w:rsidR="00E12B03" w:rsidRPr="00B22B62" w:rsidRDefault="00E12B03" w:rsidP="00BD572B">
            <w:pPr>
              <w:rPr>
                <w:sz w:val="18"/>
                <w:szCs w:val="18"/>
              </w:rPr>
            </w:pP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E12B03" w:rsidP="00BD572B">
            <w:pPr>
              <w:rPr>
                <w:sz w:val="18"/>
                <w:szCs w:val="18"/>
              </w:rPr>
            </w:pPr>
          </w:p>
        </w:tc>
        <w:tc>
          <w:tcPr>
            <w:tcW w:w="1782" w:type="dxa"/>
          </w:tcPr>
          <w:p w:rsidR="00E12B03" w:rsidRPr="00B22B62" w:rsidRDefault="00E12B03" w:rsidP="00BD572B">
            <w:pPr>
              <w:rPr>
                <w:sz w:val="18"/>
                <w:szCs w:val="18"/>
              </w:rPr>
            </w:pPr>
            <w:r w:rsidRPr="00B22B62">
              <w:rPr>
                <w:sz w:val="18"/>
                <w:szCs w:val="18"/>
              </w:rPr>
              <w:t>Økt stress for ansatte.</w:t>
            </w: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E12B03" w:rsidP="00BD572B">
            <w:pPr>
              <w:rPr>
                <w:rFonts w:cs="Arial"/>
                <w:sz w:val="18"/>
                <w:szCs w:val="18"/>
              </w:rPr>
            </w:pPr>
            <w:r w:rsidRPr="00B22B62">
              <w:rPr>
                <w:rFonts w:cs="Arial"/>
                <w:sz w:val="18"/>
                <w:szCs w:val="18"/>
              </w:rPr>
              <w:t>Taushetsplikt ivaretas mye bedre.</w:t>
            </w:r>
          </w:p>
        </w:tc>
        <w:tc>
          <w:tcPr>
            <w:tcW w:w="1697" w:type="dxa"/>
          </w:tcPr>
          <w:p w:rsidR="00E12B03" w:rsidRPr="00B22B62" w:rsidRDefault="00E12B03" w:rsidP="00BD572B">
            <w:pPr>
              <w:rPr>
                <w:sz w:val="18"/>
                <w:szCs w:val="18"/>
              </w:rPr>
            </w:pPr>
          </w:p>
        </w:tc>
        <w:tc>
          <w:tcPr>
            <w:tcW w:w="1687" w:type="dxa"/>
            <w:gridSpan w:val="2"/>
          </w:tcPr>
          <w:p w:rsidR="00E12B03" w:rsidRPr="00B22B62" w:rsidRDefault="00E12B03" w:rsidP="00BD572B">
            <w:pPr>
              <w:rPr>
                <w:sz w:val="18"/>
                <w:szCs w:val="18"/>
              </w:rPr>
            </w:pP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E12B03" w:rsidP="00BD572B">
            <w:pPr>
              <w:rPr>
                <w:sz w:val="18"/>
                <w:szCs w:val="18"/>
              </w:rPr>
            </w:pPr>
          </w:p>
        </w:tc>
        <w:tc>
          <w:tcPr>
            <w:tcW w:w="1782" w:type="dxa"/>
          </w:tcPr>
          <w:p w:rsidR="00E12B03" w:rsidRPr="00B22B62" w:rsidRDefault="00644B88" w:rsidP="00BD572B">
            <w:pPr>
              <w:rPr>
                <w:sz w:val="18"/>
                <w:szCs w:val="18"/>
              </w:rPr>
            </w:pPr>
            <w:r w:rsidRPr="00B22B62">
              <w:rPr>
                <w:sz w:val="18"/>
                <w:szCs w:val="18"/>
              </w:rPr>
              <w:t xml:space="preserve">Kan gi vekst i bemanning på sikt. </w:t>
            </w: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E12B03" w:rsidP="00BD572B">
            <w:pPr>
              <w:rPr>
                <w:rFonts w:cs="Arial"/>
                <w:sz w:val="18"/>
                <w:szCs w:val="18"/>
              </w:rPr>
            </w:pPr>
            <w:r w:rsidRPr="00B22B62">
              <w:rPr>
                <w:rFonts w:cs="Arial"/>
                <w:sz w:val="18"/>
                <w:szCs w:val="18"/>
              </w:rPr>
              <w:t>Bruk av RS har trolig en oppdragende effekt, at en over tid vil oppleve at brukerne utløser alarmen sjeldnere ved bruk av RS</w:t>
            </w:r>
          </w:p>
        </w:tc>
        <w:tc>
          <w:tcPr>
            <w:tcW w:w="1697" w:type="dxa"/>
          </w:tcPr>
          <w:p w:rsidR="00E12B03" w:rsidRPr="00B22B62" w:rsidRDefault="00E12B03" w:rsidP="00BD572B">
            <w:pPr>
              <w:rPr>
                <w:sz w:val="18"/>
                <w:szCs w:val="18"/>
              </w:rPr>
            </w:pPr>
          </w:p>
        </w:tc>
        <w:tc>
          <w:tcPr>
            <w:tcW w:w="1687" w:type="dxa"/>
            <w:gridSpan w:val="2"/>
          </w:tcPr>
          <w:p w:rsidR="00E12B03" w:rsidRPr="00B22B62" w:rsidRDefault="00E12B03" w:rsidP="00BD572B">
            <w:pPr>
              <w:rPr>
                <w:sz w:val="18"/>
                <w:szCs w:val="18"/>
              </w:rPr>
            </w:pP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E12B03" w:rsidP="00BD572B">
            <w:pPr>
              <w:rPr>
                <w:sz w:val="18"/>
                <w:szCs w:val="18"/>
              </w:rPr>
            </w:pPr>
          </w:p>
        </w:tc>
        <w:tc>
          <w:tcPr>
            <w:tcW w:w="1782" w:type="dxa"/>
          </w:tcPr>
          <w:p w:rsidR="00E12B03" w:rsidRPr="00B22B62" w:rsidRDefault="00E12B03" w:rsidP="00BD572B">
            <w:pPr>
              <w:rPr>
                <w:sz w:val="18"/>
                <w:szCs w:val="18"/>
              </w:rPr>
            </w:pP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FD4A9E" w:rsidP="00BD572B">
            <w:pPr>
              <w:rPr>
                <w:rFonts w:cs="Arial"/>
                <w:sz w:val="18"/>
                <w:szCs w:val="18"/>
              </w:rPr>
            </w:pPr>
            <w:r w:rsidRPr="00B22B62">
              <w:rPr>
                <w:rFonts w:cs="Arial"/>
                <w:sz w:val="18"/>
                <w:szCs w:val="18"/>
              </w:rPr>
              <w:t xml:space="preserve">Det </w:t>
            </w:r>
            <w:r w:rsidR="00862E8E" w:rsidRPr="00B22B62">
              <w:rPr>
                <w:rFonts w:cs="Arial"/>
                <w:sz w:val="18"/>
                <w:szCs w:val="18"/>
              </w:rPr>
              <w:t xml:space="preserve">kan </w:t>
            </w:r>
            <w:r w:rsidRPr="00B22B62">
              <w:rPr>
                <w:rFonts w:cs="Arial"/>
                <w:sz w:val="18"/>
                <w:szCs w:val="18"/>
              </w:rPr>
              <w:t>antaes at det ikke lages nye/lages færre «superbrukere» ved å ha RS</w:t>
            </w:r>
            <w:r w:rsidR="00862E8E" w:rsidRPr="00B22B62">
              <w:rPr>
                <w:rFonts w:cs="Arial"/>
                <w:sz w:val="18"/>
                <w:szCs w:val="18"/>
              </w:rPr>
              <w:t>. De siste 10 årene har det alltid vært en superbruker ved omsorgsbolgien, vi har ikke hatt det nå siden desember.</w:t>
            </w:r>
          </w:p>
        </w:tc>
        <w:tc>
          <w:tcPr>
            <w:tcW w:w="1697" w:type="dxa"/>
          </w:tcPr>
          <w:p w:rsidR="00E12B03" w:rsidRPr="00B22B62" w:rsidRDefault="00E12B03" w:rsidP="00BD572B">
            <w:pPr>
              <w:rPr>
                <w:sz w:val="18"/>
                <w:szCs w:val="18"/>
              </w:rPr>
            </w:pPr>
          </w:p>
        </w:tc>
        <w:tc>
          <w:tcPr>
            <w:tcW w:w="1687" w:type="dxa"/>
            <w:gridSpan w:val="2"/>
          </w:tcPr>
          <w:p w:rsidR="00E12B03" w:rsidRPr="00B22B62" w:rsidRDefault="00E12B03" w:rsidP="00BD572B">
            <w:pPr>
              <w:rPr>
                <w:sz w:val="18"/>
                <w:szCs w:val="18"/>
              </w:rPr>
            </w:pP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r w:rsidR="00644B88" w:rsidRPr="00B22B62" w:rsidTr="00FE6265">
        <w:trPr>
          <w:gridAfter w:val="1"/>
          <w:wAfter w:w="10" w:type="dxa"/>
        </w:trPr>
        <w:tc>
          <w:tcPr>
            <w:tcW w:w="1417" w:type="dxa"/>
          </w:tcPr>
          <w:p w:rsidR="00E12B03" w:rsidRPr="00B22B62" w:rsidRDefault="00E12B03" w:rsidP="00BD572B">
            <w:pPr>
              <w:rPr>
                <w:sz w:val="18"/>
                <w:szCs w:val="18"/>
              </w:rPr>
            </w:pPr>
          </w:p>
        </w:tc>
        <w:tc>
          <w:tcPr>
            <w:tcW w:w="1782" w:type="dxa"/>
          </w:tcPr>
          <w:p w:rsidR="00E12B03" w:rsidRPr="00B22B62" w:rsidRDefault="00E12B03" w:rsidP="00BD572B">
            <w:pPr>
              <w:rPr>
                <w:sz w:val="18"/>
                <w:szCs w:val="18"/>
              </w:rPr>
            </w:pPr>
          </w:p>
        </w:tc>
        <w:tc>
          <w:tcPr>
            <w:tcW w:w="4105" w:type="dxa"/>
            <w:tcBorders>
              <w:top w:val="single" w:sz="4" w:space="0" w:color="auto"/>
              <w:left w:val="nil"/>
              <w:bottom w:val="single" w:sz="4" w:space="0" w:color="auto"/>
              <w:right w:val="nil"/>
            </w:tcBorders>
            <w:shd w:val="clear" w:color="auto" w:fill="auto"/>
            <w:vAlign w:val="bottom"/>
          </w:tcPr>
          <w:p w:rsidR="00E12B03" w:rsidRPr="00B22B62" w:rsidRDefault="00FD4A9E" w:rsidP="00BD572B">
            <w:pPr>
              <w:rPr>
                <w:rFonts w:cs="Arial"/>
                <w:sz w:val="18"/>
                <w:szCs w:val="18"/>
              </w:rPr>
            </w:pPr>
            <w:r w:rsidRPr="00B22B62">
              <w:rPr>
                <w:rFonts w:cs="Arial"/>
                <w:sz w:val="18"/>
                <w:szCs w:val="18"/>
              </w:rPr>
              <w:t>Det bør undersøkes om den totale bruken av alarmer har gå</w:t>
            </w:r>
            <w:r w:rsidR="00862E8E" w:rsidRPr="00B22B62">
              <w:rPr>
                <w:rFonts w:cs="Arial"/>
                <w:sz w:val="18"/>
                <w:szCs w:val="18"/>
              </w:rPr>
              <w:t>tt ned ved overgang til RS på o</w:t>
            </w:r>
            <w:r w:rsidRPr="00B22B62">
              <w:rPr>
                <w:rFonts w:cs="Arial"/>
                <w:sz w:val="18"/>
                <w:szCs w:val="18"/>
              </w:rPr>
              <w:t>m</w:t>
            </w:r>
            <w:r w:rsidR="00862E8E" w:rsidRPr="00B22B62">
              <w:rPr>
                <w:rFonts w:cs="Arial"/>
                <w:sz w:val="18"/>
                <w:szCs w:val="18"/>
              </w:rPr>
              <w:t>so</w:t>
            </w:r>
            <w:r w:rsidRPr="00B22B62">
              <w:rPr>
                <w:rFonts w:cs="Arial"/>
                <w:sz w:val="18"/>
                <w:szCs w:val="18"/>
              </w:rPr>
              <w:t xml:space="preserve">rgsboligen. </w:t>
            </w:r>
            <w:r w:rsidR="00862E8E" w:rsidRPr="00B22B62">
              <w:rPr>
                <w:rFonts w:cs="Arial"/>
                <w:sz w:val="18"/>
                <w:szCs w:val="18"/>
              </w:rPr>
              <w:t xml:space="preserve">Da kan det antaes at trenden vil fortsette og at det på sikt ikke blir like mange alarmer. </w:t>
            </w:r>
          </w:p>
        </w:tc>
        <w:tc>
          <w:tcPr>
            <w:tcW w:w="1697" w:type="dxa"/>
          </w:tcPr>
          <w:p w:rsidR="00E12B03" w:rsidRPr="00B22B62" w:rsidRDefault="00E12B03" w:rsidP="00BD572B">
            <w:pPr>
              <w:rPr>
                <w:sz w:val="18"/>
                <w:szCs w:val="18"/>
              </w:rPr>
            </w:pPr>
          </w:p>
        </w:tc>
        <w:tc>
          <w:tcPr>
            <w:tcW w:w="1687" w:type="dxa"/>
            <w:gridSpan w:val="2"/>
          </w:tcPr>
          <w:p w:rsidR="00E12B03" w:rsidRPr="00B22B62" w:rsidRDefault="00E12B03" w:rsidP="00BD572B">
            <w:pPr>
              <w:rPr>
                <w:sz w:val="18"/>
                <w:szCs w:val="18"/>
              </w:rPr>
            </w:pPr>
          </w:p>
        </w:tc>
        <w:tc>
          <w:tcPr>
            <w:tcW w:w="1754" w:type="dxa"/>
          </w:tcPr>
          <w:p w:rsidR="00E12B03" w:rsidRPr="00B22B62" w:rsidRDefault="00E12B03" w:rsidP="00BD572B">
            <w:pPr>
              <w:rPr>
                <w:sz w:val="18"/>
                <w:szCs w:val="18"/>
              </w:rPr>
            </w:pPr>
          </w:p>
        </w:tc>
        <w:tc>
          <w:tcPr>
            <w:tcW w:w="1781" w:type="dxa"/>
            <w:gridSpan w:val="2"/>
          </w:tcPr>
          <w:p w:rsidR="00E12B03" w:rsidRPr="00B22B62" w:rsidRDefault="00E12B03" w:rsidP="00BD572B">
            <w:pPr>
              <w:rPr>
                <w:sz w:val="18"/>
                <w:szCs w:val="18"/>
              </w:rPr>
            </w:pPr>
          </w:p>
        </w:tc>
        <w:tc>
          <w:tcPr>
            <w:tcW w:w="1286" w:type="dxa"/>
          </w:tcPr>
          <w:p w:rsidR="00E12B03" w:rsidRPr="00B22B62" w:rsidRDefault="00E12B03" w:rsidP="00BD572B">
            <w:pPr>
              <w:rPr>
                <w:sz w:val="18"/>
                <w:szCs w:val="18"/>
              </w:rPr>
            </w:pPr>
          </w:p>
        </w:tc>
      </w:tr>
    </w:tbl>
    <w:p w:rsidR="00F269E2" w:rsidRPr="00BD572B" w:rsidRDefault="00F269E2" w:rsidP="009168C7">
      <w:pPr>
        <w:rPr>
          <w:sz w:val="18"/>
          <w:szCs w:val="18"/>
        </w:rPr>
      </w:pPr>
    </w:p>
    <w:p w:rsidR="00152455" w:rsidRDefault="00B22B62" w:rsidP="009168C7">
      <w:r>
        <w:rPr>
          <w:b/>
          <w:u w:val="single"/>
        </w:rPr>
        <w:t>Oppsummert</w:t>
      </w:r>
      <w:r w:rsidR="00152455">
        <w:t>:</w:t>
      </w:r>
    </w:p>
    <w:p w:rsidR="00152455" w:rsidRDefault="00152455" w:rsidP="009168C7"/>
    <w:p w:rsidR="00152455" w:rsidRPr="009168C7" w:rsidRDefault="00152455" w:rsidP="009168C7">
      <w:r>
        <w:t>Erfaringene så langt med at responssenteret tar i mot</w:t>
      </w:r>
      <w:r w:rsidR="00B22B62">
        <w:t xml:space="preserve"> </w:t>
      </w:r>
      <w:r>
        <w:t>alarmer fra omsorgsboligene er svært posit</w:t>
      </w:r>
      <w:r w:rsidR="00C8305F">
        <w:t>ive for omsorgsboligene, som st</w:t>
      </w:r>
      <w:r>
        <w:t>erkt ønsker en videreføring. Responssenteret opplever at omsorgsboligene krever mye av kapasiteten til operatørene, og medvirker til svartidsutfordringer. Skal responssenteret overholde svartidsanbefalinger, kreves derfor økning av ressursene</w:t>
      </w:r>
      <w:r w:rsidR="00C40AC8">
        <w:t>.</w:t>
      </w:r>
    </w:p>
    <w:sectPr w:rsidR="00152455" w:rsidRPr="009168C7" w:rsidSect="00BD57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254DA"/>
    <w:multiLevelType w:val="hybridMultilevel"/>
    <w:tmpl w:val="DE90F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E2"/>
    <w:rsid w:val="00023B0C"/>
    <w:rsid w:val="001132C4"/>
    <w:rsid w:val="00152455"/>
    <w:rsid w:val="00170B45"/>
    <w:rsid w:val="00282A25"/>
    <w:rsid w:val="00285D83"/>
    <w:rsid w:val="002B536D"/>
    <w:rsid w:val="002F6CF4"/>
    <w:rsid w:val="003007AB"/>
    <w:rsid w:val="00331B90"/>
    <w:rsid w:val="005C626D"/>
    <w:rsid w:val="00644B88"/>
    <w:rsid w:val="006F23A4"/>
    <w:rsid w:val="007333BE"/>
    <w:rsid w:val="00776C21"/>
    <w:rsid w:val="007B676E"/>
    <w:rsid w:val="00862E8E"/>
    <w:rsid w:val="00870913"/>
    <w:rsid w:val="0088208B"/>
    <w:rsid w:val="009168C7"/>
    <w:rsid w:val="00961322"/>
    <w:rsid w:val="00964F53"/>
    <w:rsid w:val="00A56517"/>
    <w:rsid w:val="00B22B62"/>
    <w:rsid w:val="00B43607"/>
    <w:rsid w:val="00BD572B"/>
    <w:rsid w:val="00C40AC8"/>
    <w:rsid w:val="00C8305F"/>
    <w:rsid w:val="00D90197"/>
    <w:rsid w:val="00DE4CCB"/>
    <w:rsid w:val="00E12B03"/>
    <w:rsid w:val="00E162FA"/>
    <w:rsid w:val="00F269E2"/>
    <w:rsid w:val="00FC607F"/>
    <w:rsid w:val="00FD4A9E"/>
    <w:rsid w:val="00FE62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75FC"/>
  <w15:docId w15:val="{41385B25-7F7C-4C8A-BFB5-71484CD7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269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E62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6265"/>
    <w:rPr>
      <w:rFonts w:ascii="Segoe UI" w:hAnsi="Segoe UI" w:cs="Segoe UI"/>
      <w:sz w:val="18"/>
      <w:szCs w:val="18"/>
    </w:rPr>
  </w:style>
  <w:style w:type="paragraph" w:styleId="Listeavsnitt">
    <w:name w:val="List Paragraph"/>
    <w:basedOn w:val="Normal"/>
    <w:uiPriority w:val="34"/>
    <w:qFormat/>
    <w:rsid w:val="00DE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522">
      <w:bodyDiv w:val="1"/>
      <w:marLeft w:val="0"/>
      <w:marRight w:val="0"/>
      <w:marTop w:val="0"/>
      <w:marBottom w:val="0"/>
      <w:divBdr>
        <w:top w:val="none" w:sz="0" w:space="0" w:color="auto"/>
        <w:left w:val="none" w:sz="0" w:space="0" w:color="auto"/>
        <w:bottom w:val="none" w:sz="0" w:space="0" w:color="auto"/>
        <w:right w:val="none" w:sz="0" w:space="0" w:color="auto"/>
      </w:divBdr>
    </w:div>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A8129CE1E6B14A9C4A133DF13A74AB" ma:contentTypeVersion="0" ma:contentTypeDescription="Opprett et nytt dokument." ma:contentTypeScope="" ma:versionID="0aa1c49a17c1a062ed6b943f58b191b3">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FBA35-C006-431B-A173-970E1F903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E5FA2-16EC-45BF-A016-4C7132BE4342}">
  <ds:schemaRefs>
    <ds:schemaRef ds:uri="http://schemas.microsoft.com/sharepoint/v3/contenttype/forms"/>
  </ds:schemaRefs>
</ds:datastoreItem>
</file>

<file path=customXml/itemProps3.xml><?xml version="1.0" encoding="utf-8"?>
<ds:datastoreItem xmlns:ds="http://schemas.openxmlformats.org/officeDocument/2006/customXml" ds:itemID="{707085CD-8BB1-460F-8C0C-D13F7C391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496</Words>
  <Characters>2633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Haarr</dc:creator>
  <cp:keywords/>
  <dc:description/>
  <cp:lastModifiedBy>Øyvind Haarr</cp:lastModifiedBy>
  <cp:revision>11</cp:revision>
  <cp:lastPrinted>2018-05-28T06:28:00Z</cp:lastPrinted>
  <dcterms:created xsi:type="dcterms:W3CDTF">2018-05-07T10:23:00Z</dcterms:created>
  <dcterms:modified xsi:type="dcterms:W3CDTF">2018-05-28T07:20:00Z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0x0101001DA8129CE1E6B14A9C4A133DF13A74AB</vt:lpwstr>
  </property>
</Properties>
</file>