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AAC30" w14:textId="4A25A7E3" w:rsidR="004C2561" w:rsidRDefault="00AC0695">
      <w:pPr>
        <w:rPr>
          <w:b/>
          <w:sz w:val="32"/>
          <w:szCs w:val="32"/>
          <w:lang w:val="nb-NO"/>
        </w:rPr>
      </w:pPr>
      <w:bookmarkStart w:id="0" w:name="_GoBack"/>
      <w:bookmarkEnd w:id="0"/>
      <w:r>
        <w:rPr>
          <w:b/>
          <w:sz w:val="32"/>
          <w:szCs w:val="32"/>
          <w:lang w:val="nb-NO"/>
        </w:rPr>
        <w:t xml:space="preserve">Håndtering av </w:t>
      </w:r>
      <w:r w:rsidR="00A53700">
        <w:rPr>
          <w:b/>
          <w:sz w:val="32"/>
          <w:szCs w:val="32"/>
          <w:lang w:val="nb-NO"/>
        </w:rPr>
        <w:t>varslinger fra responssenteret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53"/>
        <w:gridCol w:w="7097"/>
      </w:tblGrid>
      <w:tr w:rsidR="004C2561" w14:paraId="350AAC33" w14:textId="77777777">
        <w:tc>
          <w:tcPr>
            <w:tcW w:w="2269" w:type="dxa"/>
          </w:tcPr>
          <w:p w14:paraId="350AAC31" w14:textId="77777777" w:rsidR="004C2561" w:rsidRDefault="00AC0695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Tjenesteområde:</w:t>
            </w:r>
          </w:p>
        </w:tc>
        <w:tc>
          <w:tcPr>
            <w:tcW w:w="7307" w:type="dxa"/>
          </w:tcPr>
          <w:p w14:paraId="350AAC32" w14:textId="77777777" w:rsidR="004C2561" w:rsidRDefault="00AC0695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Helse og velferd</w:t>
            </w:r>
          </w:p>
        </w:tc>
      </w:tr>
      <w:tr w:rsidR="004C2561" w14:paraId="350AAC36" w14:textId="77777777">
        <w:tc>
          <w:tcPr>
            <w:tcW w:w="2269" w:type="dxa"/>
          </w:tcPr>
          <w:p w14:paraId="350AAC34" w14:textId="77777777" w:rsidR="004C2561" w:rsidRDefault="00AC0695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Avdeling:</w:t>
            </w:r>
          </w:p>
        </w:tc>
        <w:tc>
          <w:tcPr>
            <w:tcW w:w="7307" w:type="dxa"/>
          </w:tcPr>
          <w:p w14:paraId="350AAC35" w14:textId="77777777" w:rsidR="004C2561" w:rsidRDefault="00AC0695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Enhet hjemmetjenester</w:t>
            </w:r>
          </w:p>
        </w:tc>
      </w:tr>
      <w:tr w:rsidR="004C2561" w14:paraId="350AAC39" w14:textId="77777777">
        <w:tc>
          <w:tcPr>
            <w:tcW w:w="2269" w:type="dxa"/>
          </w:tcPr>
          <w:p w14:paraId="350AAC37" w14:textId="77777777" w:rsidR="004C2561" w:rsidRDefault="00AC0695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 xml:space="preserve">Delprosess: </w:t>
            </w:r>
          </w:p>
        </w:tc>
        <w:tc>
          <w:tcPr>
            <w:tcW w:w="7307" w:type="dxa"/>
          </w:tcPr>
          <w:p w14:paraId="350AAC38" w14:textId="539E8801" w:rsidR="004C2561" w:rsidRDefault="00B433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Trygghetspakke</w:t>
            </w:r>
          </w:p>
        </w:tc>
      </w:tr>
      <w:tr w:rsidR="004C2561" w14:paraId="350AAC3C" w14:textId="77777777">
        <w:tc>
          <w:tcPr>
            <w:tcW w:w="2269" w:type="dxa"/>
          </w:tcPr>
          <w:p w14:paraId="350AAC3A" w14:textId="77777777" w:rsidR="004C2561" w:rsidRDefault="00AC0695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 xml:space="preserve">Prosesseier: </w:t>
            </w:r>
          </w:p>
        </w:tc>
        <w:tc>
          <w:tcPr>
            <w:tcW w:w="7307" w:type="dxa"/>
          </w:tcPr>
          <w:p w14:paraId="350AAC3B" w14:textId="77777777" w:rsidR="004C2561" w:rsidRDefault="00AC0695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Enhet hjemmetjenester</w:t>
            </w:r>
          </w:p>
        </w:tc>
      </w:tr>
      <w:tr w:rsidR="004C2561" w:rsidRPr="000A5AA8" w14:paraId="350AAC3F" w14:textId="77777777">
        <w:tc>
          <w:tcPr>
            <w:tcW w:w="2269" w:type="dxa"/>
          </w:tcPr>
          <w:p w14:paraId="350AAC3D" w14:textId="77777777" w:rsidR="004C2561" w:rsidRDefault="00AC0695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 xml:space="preserve">Ansvarlig for utførelse: </w:t>
            </w:r>
          </w:p>
        </w:tc>
        <w:tc>
          <w:tcPr>
            <w:tcW w:w="7307" w:type="dxa"/>
          </w:tcPr>
          <w:p w14:paraId="350AAC3E" w14:textId="77777777" w:rsidR="004C2561" w:rsidRDefault="00AC0695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Enhetsleder hjemmetjenester/ansatte i hjemmesykepleien</w:t>
            </w:r>
          </w:p>
        </w:tc>
      </w:tr>
    </w:tbl>
    <w:p w14:paraId="0874C773" w14:textId="77777777" w:rsidR="006D147F" w:rsidRDefault="006D147F">
      <w:pPr>
        <w:spacing w:before="120" w:after="0" w:line="240" w:lineRule="auto"/>
        <w:rPr>
          <w:b/>
          <w:lang w:val="nb-NO"/>
        </w:rPr>
      </w:pPr>
    </w:p>
    <w:p w14:paraId="350AAC40" w14:textId="3F69982A" w:rsidR="004C2561" w:rsidRDefault="00AC0695" w:rsidP="00101224">
      <w:pPr>
        <w:spacing w:before="120" w:after="0" w:line="240" w:lineRule="auto"/>
        <w:rPr>
          <w:szCs w:val="24"/>
          <w:lang w:val="nb-NO"/>
        </w:rPr>
      </w:pPr>
      <w:r>
        <w:rPr>
          <w:b/>
          <w:lang w:val="nb-NO"/>
        </w:rPr>
        <w:t xml:space="preserve">Hensikt: </w:t>
      </w:r>
      <w:r w:rsidR="005359C8">
        <w:rPr>
          <w:szCs w:val="24"/>
          <w:lang w:val="nb-NO"/>
        </w:rPr>
        <w:t>Bruker</w:t>
      </w:r>
      <w:r>
        <w:rPr>
          <w:szCs w:val="24"/>
          <w:lang w:val="nb-NO"/>
        </w:rPr>
        <w:t xml:space="preserve"> er tryg</w:t>
      </w:r>
      <w:r w:rsidR="00F45D4D">
        <w:rPr>
          <w:szCs w:val="24"/>
          <w:lang w:val="nb-NO"/>
        </w:rPr>
        <w:t>g på at hjelpen kommer ved utløst alarm</w:t>
      </w:r>
      <w:r w:rsidR="005359C8">
        <w:rPr>
          <w:szCs w:val="24"/>
          <w:lang w:val="nb-NO"/>
        </w:rPr>
        <w:t xml:space="preserve"> og røykvarsler.</w:t>
      </w:r>
    </w:p>
    <w:p w14:paraId="50FF621E" w14:textId="77777777" w:rsidR="00101224" w:rsidRDefault="00101224" w:rsidP="00101224">
      <w:pPr>
        <w:spacing w:before="120" w:after="0" w:line="240" w:lineRule="auto"/>
        <w:rPr>
          <w:b/>
          <w:lang w:val="nb-NO"/>
        </w:rPr>
      </w:pPr>
    </w:p>
    <w:p w14:paraId="350AAC42" w14:textId="5945D93E" w:rsidR="004C2561" w:rsidRDefault="00AC0695" w:rsidP="00101224">
      <w:pPr>
        <w:spacing w:after="0"/>
        <w:rPr>
          <w:b/>
          <w:bCs/>
          <w:lang w:val="nb-NO" w:eastAsia="nb-NO"/>
        </w:rPr>
      </w:pPr>
      <w:r w:rsidRPr="005359C8">
        <w:rPr>
          <w:b/>
          <w:bCs/>
          <w:lang w:val="nb-NO" w:eastAsia="nb-NO"/>
        </w:rPr>
        <w:t>Beskrivelse av rutine</w:t>
      </w:r>
      <w:r w:rsidR="005359C8">
        <w:rPr>
          <w:b/>
          <w:bCs/>
          <w:lang w:val="nb-NO" w:eastAsia="nb-NO"/>
        </w:rPr>
        <w:t>:</w:t>
      </w:r>
    </w:p>
    <w:p w14:paraId="0787AC65" w14:textId="53170011" w:rsidR="00F727C1" w:rsidRPr="00101224" w:rsidRDefault="003A0447" w:rsidP="00101224">
      <w:pPr>
        <w:spacing w:after="0"/>
        <w:rPr>
          <w:lang w:val="nb-NO" w:eastAsia="nb-NO"/>
        </w:rPr>
      </w:pPr>
      <w:r w:rsidRPr="00101224">
        <w:rPr>
          <w:lang w:val="nb-NO" w:eastAsia="nb-NO"/>
        </w:rPr>
        <w:t>Røykvarsleren er tilkoblet trygghetsalarmen og begge varsler direkte til responssentertjenes</w:t>
      </w:r>
      <w:r w:rsidR="00F727C1" w:rsidRPr="00101224">
        <w:rPr>
          <w:lang w:val="nb-NO" w:eastAsia="nb-NO"/>
        </w:rPr>
        <w:t xml:space="preserve">ten. </w:t>
      </w:r>
      <w:r w:rsidR="00101224" w:rsidRPr="00101224">
        <w:rPr>
          <w:lang w:val="nb-NO" w:eastAsia="nb-NO"/>
        </w:rPr>
        <w:t>Ved utløst alarm forsøker responssenteret først</w:t>
      </w:r>
      <w:r w:rsidR="00F727C1" w:rsidRPr="00101224">
        <w:rPr>
          <w:lang w:val="nb-NO" w:eastAsia="nb-NO"/>
        </w:rPr>
        <w:t xml:space="preserve"> å komme i kontakt med bruker for å avklare om bruker trenger bistand. Mange alarmer avklares. </w:t>
      </w:r>
    </w:p>
    <w:p w14:paraId="350AAC45" w14:textId="7063F116" w:rsidR="004C2561" w:rsidRDefault="00F727C1" w:rsidP="00101224">
      <w:pPr>
        <w:spacing w:after="0"/>
        <w:rPr>
          <w:lang w:val="nb-NO" w:eastAsia="nb-NO"/>
        </w:rPr>
      </w:pPr>
      <w:r w:rsidRPr="00101224">
        <w:rPr>
          <w:lang w:val="nb-NO" w:eastAsia="nb-NO"/>
        </w:rPr>
        <w:t>Dersom bruker trenger bistand sender r</w:t>
      </w:r>
      <w:r w:rsidR="000A5AA8" w:rsidRPr="00101224">
        <w:rPr>
          <w:lang w:val="nb-NO" w:eastAsia="nb-NO"/>
        </w:rPr>
        <w:t xml:space="preserve">esponssenteret SMS med </w:t>
      </w:r>
      <w:r w:rsidR="005359C8" w:rsidRPr="00101224">
        <w:rPr>
          <w:lang w:val="nb-NO" w:eastAsia="nb-NO"/>
        </w:rPr>
        <w:t>bruker</w:t>
      </w:r>
      <w:r w:rsidR="000A5AA8" w:rsidRPr="00101224">
        <w:rPr>
          <w:lang w:val="nb-NO" w:eastAsia="nb-NO"/>
        </w:rPr>
        <w:t xml:space="preserve">s navn og adresse </w:t>
      </w:r>
      <w:r w:rsidRPr="00101224">
        <w:rPr>
          <w:lang w:val="nb-NO" w:eastAsia="nb-NO"/>
        </w:rPr>
        <w:t xml:space="preserve">til hjemmesykepleiens </w:t>
      </w:r>
      <w:r w:rsidR="000A5AA8" w:rsidRPr="00101224">
        <w:rPr>
          <w:lang w:val="nb-NO" w:eastAsia="nb-NO"/>
        </w:rPr>
        <w:t xml:space="preserve">mobil </w:t>
      </w:r>
      <w:r w:rsidR="00B0693B" w:rsidRPr="00101224">
        <w:rPr>
          <w:lang w:val="nb-NO" w:eastAsia="nb-NO"/>
        </w:rPr>
        <w:t xml:space="preserve">1. Samtidig ringer de </w:t>
      </w:r>
      <w:r w:rsidR="00A53700" w:rsidRPr="00101224">
        <w:rPr>
          <w:lang w:val="nb-NO" w:eastAsia="nb-NO"/>
        </w:rPr>
        <w:t>hjemmesykepleie</w:t>
      </w:r>
      <w:r w:rsidRPr="00101224">
        <w:rPr>
          <w:lang w:val="nb-NO" w:eastAsia="nb-NO"/>
        </w:rPr>
        <w:t xml:space="preserve">n </w:t>
      </w:r>
      <w:r w:rsidR="006D147F" w:rsidRPr="00101224">
        <w:rPr>
          <w:lang w:val="nb-NO" w:eastAsia="nb-NO"/>
        </w:rPr>
        <w:t>med ytterligere opplysninger som gjelder kontakt med bruker</w:t>
      </w:r>
      <w:r w:rsidR="006D147F" w:rsidRPr="005359C8">
        <w:rPr>
          <w:lang w:val="nb-NO" w:eastAsia="nb-NO"/>
        </w:rPr>
        <w:t>.</w:t>
      </w:r>
      <w:r w:rsidR="00101224">
        <w:rPr>
          <w:lang w:val="nb-NO" w:eastAsia="nb-NO"/>
        </w:rPr>
        <w:t xml:space="preserve"> Ved utløst brannalarm ringes også 110.</w:t>
      </w:r>
    </w:p>
    <w:p w14:paraId="4524D12D" w14:textId="77777777" w:rsidR="00101224" w:rsidRPr="00F727C1" w:rsidRDefault="00101224" w:rsidP="00101224">
      <w:pPr>
        <w:spacing w:after="0"/>
        <w:rPr>
          <w:b/>
          <w:bCs/>
          <w:lang w:val="nb-NO" w:eastAsia="nb-NO"/>
        </w:rPr>
      </w:pPr>
    </w:p>
    <w:p w14:paraId="0D649F60" w14:textId="078842DB" w:rsidR="006D147F" w:rsidRPr="00F727C1" w:rsidRDefault="006D147F" w:rsidP="00F727C1">
      <w:pPr>
        <w:pStyle w:val="Listeavsnitt"/>
        <w:numPr>
          <w:ilvl w:val="0"/>
          <w:numId w:val="12"/>
        </w:numPr>
        <w:rPr>
          <w:lang w:val="nb-NO" w:eastAsia="nb-NO"/>
        </w:rPr>
      </w:pPr>
      <w:r w:rsidRPr="00F727C1">
        <w:rPr>
          <w:lang w:val="nb-NO" w:eastAsia="nb-NO"/>
        </w:rPr>
        <w:t>Ved skade/fall/akutte hendelser iverksetter hjemmesykepleien nødvendig medisinsk oppfølging og 113 kontaktes ved behov.</w:t>
      </w:r>
    </w:p>
    <w:p w14:paraId="39A28833" w14:textId="1FFCCE5A" w:rsidR="00101224" w:rsidRPr="00101224" w:rsidRDefault="006D147F" w:rsidP="00101224">
      <w:pPr>
        <w:pStyle w:val="Listeavsnitt"/>
        <w:numPr>
          <w:ilvl w:val="0"/>
          <w:numId w:val="12"/>
        </w:numPr>
        <w:spacing w:after="0"/>
        <w:rPr>
          <w:b/>
          <w:bCs/>
          <w:lang w:val="nb-NO"/>
        </w:rPr>
      </w:pPr>
      <w:r w:rsidRPr="00E269D0">
        <w:rPr>
          <w:lang w:val="nb-NO" w:eastAsia="nb-NO"/>
        </w:rPr>
        <w:t>Ved</w:t>
      </w:r>
      <w:r w:rsidR="006C3F59" w:rsidRPr="00E269D0">
        <w:rPr>
          <w:lang w:val="nb-NO" w:eastAsia="nb-NO"/>
        </w:rPr>
        <w:t xml:space="preserve"> </w:t>
      </w:r>
      <w:r w:rsidRPr="00E269D0">
        <w:rPr>
          <w:lang w:val="nb-NO" w:eastAsia="nb-NO"/>
        </w:rPr>
        <w:t>brann</w:t>
      </w:r>
      <w:r w:rsidR="006C3F59" w:rsidRPr="00E269D0">
        <w:rPr>
          <w:lang w:val="nb-NO" w:eastAsia="nb-NO"/>
        </w:rPr>
        <w:t xml:space="preserve">alarm </w:t>
      </w:r>
      <w:r w:rsidR="00F727C1">
        <w:rPr>
          <w:lang w:val="nb-NO" w:eastAsia="nb-NO"/>
        </w:rPr>
        <w:t>har</w:t>
      </w:r>
      <w:r w:rsidR="005359C8" w:rsidRPr="00E269D0">
        <w:rPr>
          <w:lang w:val="nb-NO" w:eastAsia="nb-NO"/>
        </w:rPr>
        <w:t xml:space="preserve"> hjemmesykepleien </w:t>
      </w:r>
      <w:r w:rsidR="007935E7" w:rsidRPr="00E269D0">
        <w:rPr>
          <w:lang w:val="nb-NO" w:eastAsia="nb-NO"/>
        </w:rPr>
        <w:t xml:space="preserve">som regel kortere responstid enn KBR, noe som kan være avgjørende for å redde liv. </w:t>
      </w:r>
      <w:r w:rsidR="00E269D0" w:rsidRPr="005359C8">
        <w:rPr>
          <w:lang w:val="nb-NO" w:eastAsia="nb-NO"/>
        </w:rPr>
        <w:t>Dersom de kommer først til bolig er det viktig å vurdere risiko for røyk og varme.</w:t>
      </w:r>
      <w:r w:rsidR="00E269D0">
        <w:rPr>
          <w:lang w:val="nb-NO" w:eastAsia="nb-NO"/>
        </w:rPr>
        <w:t xml:space="preserve"> </w:t>
      </w:r>
      <w:r w:rsidR="00F727C1">
        <w:rPr>
          <w:lang w:val="nb-NO" w:eastAsia="nb-NO"/>
        </w:rPr>
        <w:t>Ta kontakt med 110 for råd og veiledning. Dersom ansatte er i tvil</w:t>
      </w:r>
      <w:r w:rsidR="00101224">
        <w:rPr>
          <w:lang w:val="nb-NO" w:eastAsia="nb-NO"/>
        </w:rPr>
        <w:t>-</w:t>
      </w:r>
      <w:r w:rsidR="00F727C1">
        <w:rPr>
          <w:lang w:val="nb-NO" w:eastAsia="nb-NO"/>
        </w:rPr>
        <w:t xml:space="preserve"> tenk egen sikkerhet. </w:t>
      </w:r>
      <w:r w:rsidR="00101224">
        <w:rPr>
          <w:lang w:val="nb-NO" w:eastAsia="nb-NO"/>
        </w:rPr>
        <w:t>Hjemmesykepleien</w:t>
      </w:r>
      <w:r w:rsidR="007935E7" w:rsidRPr="00F727C1">
        <w:rPr>
          <w:lang w:val="nb-NO" w:eastAsia="nb-NO"/>
        </w:rPr>
        <w:t xml:space="preserve"> bistå</w:t>
      </w:r>
      <w:r w:rsidR="00101224">
        <w:rPr>
          <w:lang w:val="nb-NO" w:eastAsia="nb-NO"/>
        </w:rPr>
        <w:t>r</w:t>
      </w:r>
      <w:r w:rsidR="007935E7" w:rsidRPr="00F727C1">
        <w:rPr>
          <w:lang w:val="nb-NO" w:eastAsia="nb-NO"/>
        </w:rPr>
        <w:t xml:space="preserve"> brannvesenet når de ankommer med nøkler og kjennskap til bolig.</w:t>
      </w:r>
    </w:p>
    <w:p w14:paraId="4B3EECAA" w14:textId="77777777" w:rsidR="00101224" w:rsidRDefault="007935E7" w:rsidP="00101224">
      <w:pPr>
        <w:spacing w:after="0"/>
        <w:rPr>
          <w:lang w:val="nb-NO" w:eastAsia="nb-NO"/>
        </w:rPr>
      </w:pPr>
      <w:r w:rsidRPr="00101224">
        <w:rPr>
          <w:lang w:val="nb-NO" w:eastAsia="nb-NO"/>
        </w:rPr>
        <w:t xml:space="preserve"> </w:t>
      </w:r>
    </w:p>
    <w:p w14:paraId="5F28C1F7" w14:textId="40850C8A" w:rsidR="006D147F" w:rsidRPr="00101224" w:rsidRDefault="005359C8" w:rsidP="00101224">
      <w:pPr>
        <w:spacing w:after="0"/>
        <w:rPr>
          <w:b/>
          <w:bCs/>
          <w:lang w:val="nb-NO"/>
        </w:rPr>
      </w:pPr>
      <w:r w:rsidRPr="00101224">
        <w:rPr>
          <w:b/>
          <w:bCs/>
          <w:lang w:val="nb-NO"/>
        </w:rPr>
        <w:t>Viktig:</w:t>
      </w:r>
    </w:p>
    <w:p w14:paraId="5BA6DF3F" w14:textId="1911CBF2" w:rsidR="00A53700" w:rsidRPr="005359C8" w:rsidRDefault="004B7637" w:rsidP="00101224">
      <w:pPr>
        <w:spacing w:after="0"/>
        <w:rPr>
          <w:lang w:val="nb-NO" w:eastAsia="nb-NO"/>
        </w:rPr>
      </w:pPr>
      <w:r w:rsidRPr="005359C8">
        <w:rPr>
          <w:lang w:val="nb-NO" w:eastAsia="nb-NO"/>
        </w:rPr>
        <w:t>Ta med sår- og TILT bag</w:t>
      </w:r>
    </w:p>
    <w:p w14:paraId="02B9CF2E" w14:textId="50ACA18B" w:rsidR="00A53700" w:rsidRPr="005359C8" w:rsidRDefault="00A53700" w:rsidP="00101224">
      <w:pPr>
        <w:spacing w:after="0"/>
        <w:rPr>
          <w:lang w:val="nb-NO" w:eastAsia="nb-NO"/>
        </w:rPr>
      </w:pPr>
      <w:r w:rsidRPr="005359C8">
        <w:rPr>
          <w:lang w:val="nb-NO" w:eastAsia="nb-NO"/>
        </w:rPr>
        <w:t>Sjekk anmerkning på brukerko</w:t>
      </w:r>
      <w:r w:rsidR="005359C8" w:rsidRPr="005359C8">
        <w:rPr>
          <w:lang w:val="nb-NO" w:eastAsia="nb-NO"/>
        </w:rPr>
        <w:t>rt- veibeskrivelse</w:t>
      </w:r>
    </w:p>
    <w:p w14:paraId="7E2656E2" w14:textId="3E26DA65" w:rsidR="00775ECB" w:rsidRPr="005359C8" w:rsidRDefault="000A5AA8" w:rsidP="00101224">
      <w:pPr>
        <w:spacing w:after="0"/>
        <w:rPr>
          <w:sz w:val="24"/>
          <w:szCs w:val="24"/>
          <w:lang w:val="nb-NO"/>
        </w:rPr>
      </w:pPr>
      <w:r w:rsidRPr="005359C8">
        <w:rPr>
          <w:lang w:val="nb-NO" w:eastAsia="nb-NO"/>
        </w:rPr>
        <w:t>Gå 2 stykker (så langt det lar seg gjøre og i hver</w:t>
      </w:r>
      <w:r w:rsidR="00B0693B" w:rsidRPr="005359C8">
        <w:rPr>
          <w:lang w:val="nb-NO" w:eastAsia="nb-NO"/>
        </w:rPr>
        <w:t>t</w:t>
      </w:r>
      <w:r w:rsidRPr="005359C8">
        <w:rPr>
          <w:lang w:val="nb-NO" w:eastAsia="nb-NO"/>
        </w:rPr>
        <w:t xml:space="preserve"> fall med ukjente brukere</w:t>
      </w:r>
      <w:r w:rsidRPr="005359C8">
        <w:rPr>
          <w:sz w:val="24"/>
          <w:szCs w:val="24"/>
          <w:lang w:val="nb-NO"/>
        </w:rPr>
        <w:t>)</w:t>
      </w:r>
    </w:p>
    <w:p w14:paraId="2DBE10EE" w14:textId="77777777" w:rsidR="00A53700" w:rsidRPr="00A53700" w:rsidRDefault="00A53700" w:rsidP="00A53700">
      <w:pPr>
        <w:rPr>
          <w:sz w:val="24"/>
          <w:szCs w:val="24"/>
          <w:lang w:val="nb-NO"/>
        </w:rPr>
      </w:pPr>
    </w:p>
    <w:p w14:paraId="350AAC49" w14:textId="42E32345" w:rsidR="004C2561" w:rsidRDefault="00B0693B">
      <w:pPr>
        <w:rPr>
          <w:szCs w:val="24"/>
          <w:lang w:val="nb-NO"/>
        </w:rPr>
      </w:pPr>
      <w:r>
        <w:rPr>
          <w:szCs w:val="24"/>
          <w:lang w:val="nb-NO"/>
        </w:rPr>
        <w:t xml:space="preserve">Har </w:t>
      </w:r>
      <w:r w:rsidR="00AC0695">
        <w:rPr>
          <w:szCs w:val="24"/>
          <w:lang w:val="nb-NO"/>
        </w:rPr>
        <w:t>dere lest veibeskrivelse og likevel ikke finner frem,</w:t>
      </w:r>
      <w:r w:rsidR="00801914">
        <w:rPr>
          <w:szCs w:val="24"/>
          <w:lang w:val="nb-NO"/>
        </w:rPr>
        <w:t xml:space="preserve"> ring vår hjelpemiddelteknik</w:t>
      </w:r>
      <w:r w:rsidR="00AC795B">
        <w:rPr>
          <w:szCs w:val="24"/>
          <w:lang w:val="nb-NO"/>
        </w:rPr>
        <w:t>ker</w:t>
      </w:r>
      <w:r>
        <w:rPr>
          <w:szCs w:val="24"/>
          <w:lang w:val="nb-NO"/>
        </w:rPr>
        <w:t xml:space="preserve"> </w:t>
      </w:r>
      <w:r w:rsidR="00AC0695">
        <w:rPr>
          <w:szCs w:val="24"/>
          <w:lang w:val="nb-NO"/>
        </w:rPr>
        <w:t>mob</w:t>
      </w:r>
      <w:r w:rsidR="006944BC">
        <w:rPr>
          <w:szCs w:val="24"/>
          <w:lang w:val="nb-NO"/>
        </w:rPr>
        <w:t>il</w:t>
      </w:r>
      <w:r w:rsidR="00AC0695">
        <w:rPr>
          <w:szCs w:val="24"/>
          <w:lang w:val="nb-NO"/>
        </w:rPr>
        <w:t>: 90997949</w:t>
      </w:r>
      <w:r>
        <w:rPr>
          <w:szCs w:val="24"/>
          <w:lang w:val="nb-NO"/>
        </w:rPr>
        <w:t>.</w:t>
      </w:r>
    </w:p>
    <w:p w14:paraId="54B3B560" w14:textId="77777777" w:rsidR="005359C8" w:rsidRDefault="005359C8">
      <w:pPr>
        <w:rPr>
          <w:szCs w:val="24"/>
          <w:lang w:val="nb-NO"/>
        </w:rPr>
      </w:pPr>
    </w:p>
    <w:p w14:paraId="350AAC52" w14:textId="77777777" w:rsidR="004C2561" w:rsidRDefault="004C2561">
      <w:pPr>
        <w:rPr>
          <w:b/>
          <w:lang w:val="nb-NO"/>
        </w:rPr>
      </w:pPr>
    </w:p>
    <w:sectPr w:rsidR="004C2561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AEE3B" w14:textId="77777777" w:rsidR="00EC29A5" w:rsidRDefault="00EC29A5">
      <w:pPr>
        <w:spacing w:after="0" w:line="240" w:lineRule="auto"/>
      </w:pPr>
      <w:r>
        <w:separator/>
      </w:r>
    </w:p>
  </w:endnote>
  <w:endnote w:type="continuationSeparator" w:id="0">
    <w:p w14:paraId="4774A290" w14:textId="77777777" w:rsidR="00EC29A5" w:rsidRDefault="00EC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071BA" w14:textId="77777777" w:rsidR="00EC29A5" w:rsidRDefault="00EC29A5">
      <w:pPr>
        <w:spacing w:after="0" w:line="240" w:lineRule="auto"/>
      </w:pPr>
      <w:r>
        <w:separator/>
      </w:r>
    </w:p>
  </w:footnote>
  <w:footnote w:type="continuationSeparator" w:id="0">
    <w:p w14:paraId="699F20A8" w14:textId="77777777" w:rsidR="00EC29A5" w:rsidRDefault="00EC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CF3D6" w14:textId="77777777" w:rsidR="00CB185C" w:rsidRDefault="006944B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F06644A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00000002"/>
    <w:multiLevelType w:val="multilevel"/>
    <w:tmpl w:val="E0301BE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0000003"/>
    <w:multiLevelType w:val="multilevel"/>
    <w:tmpl w:val="A8D684A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314C826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0000005"/>
    <w:multiLevelType w:val="multilevel"/>
    <w:tmpl w:val="0B6CAEA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55FE68F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00000007"/>
    <w:multiLevelType w:val="multilevel"/>
    <w:tmpl w:val="6F64E09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85956A2"/>
    <w:multiLevelType w:val="hybridMultilevel"/>
    <w:tmpl w:val="AED48C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04325"/>
    <w:multiLevelType w:val="hybridMultilevel"/>
    <w:tmpl w:val="6748C192"/>
    <w:lvl w:ilvl="0" w:tplc="9662AF0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B3F22"/>
    <w:multiLevelType w:val="hybridMultilevel"/>
    <w:tmpl w:val="BCF0DFD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337C42"/>
    <w:multiLevelType w:val="hybridMultilevel"/>
    <w:tmpl w:val="7DF6D3A4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61"/>
    <w:rsid w:val="000A5AA8"/>
    <w:rsid w:val="00101224"/>
    <w:rsid w:val="001514C4"/>
    <w:rsid w:val="001F46D7"/>
    <w:rsid w:val="00236EF3"/>
    <w:rsid w:val="00240EE1"/>
    <w:rsid w:val="003A0447"/>
    <w:rsid w:val="004B7637"/>
    <w:rsid w:val="004C2561"/>
    <w:rsid w:val="005359C8"/>
    <w:rsid w:val="005A4EA9"/>
    <w:rsid w:val="006944BC"/>
    <w:rsid w:val="006C3F59"/>
    <w:rsid w:val="006D147F"/>
    <w:rsid w:val="00775ECB"/>
    <w:rsid w:val="007935E7"/>
    <w:rsid w:val="00801914"/>
    <w:rsid w:val="00A53700"/>
    <w:rsid w:val="00AC0695"/>
    <w:rsid w:val="00AC795B"/>
    <w:rsid w:val="00B0693B"/>
    <w:rsid w:val="00B433DF"/>
    <w:rsid w:val="00CB185C"/>
    <w:rsid w:val="00DE426C"/>
    <w:rsid w:val="00E269D0"/>
    <w:rsid w:val="00EC29A5"/>
    <w:rsid w:val="00F45D4D"/>
    <w:rsid w:val="00F7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AC2F"/>
  <w15:docId w15:val="{D6C0C79C-F0FD-4B03-B59C-3B2EA1F1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genliste1">
    <w:name w:val="Ingen liste1"/>
    <w:semiHidden/>
    <w:unhideWhenUsed/>
  </w:style>
  <w:style w:type="paragraph" w:styleId="Topptekst">
    <w:name w:val="header"/>
    <w:basedOn w:val="Normal"/>
    <w:next w:val="Normal"/>
    <w:link w:val="TopptekstTegn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</w:style>
  <w:style w:type="paragraph" w:styleId="Bunntekst">
    <w:name w:val="footer"/>
    <w:basedOn w:val="Normal"/>
    <w:link w:val="BunntekstTegn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</w:style>
  <w:style w:type="paragraph" w:styleId="Bobletekst">
    <w:name w:val="Balloon Text"/>
    <w:basedOn w:val="Normal"/>
    <w:link w:val="BobletekstTegn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Pr>
      <w:rFonts w:ascii="Tahoma" w:eastAsia="Tahoma" w:hAnsi="Tahoma" w:cs="Tahoma"/>
      <w:sz w:val="16"/>
      <w:szCs w:val="16"/>
    </w:rPr>
  </w:style>
  <w:style w:type="table" w:styleId="Tabellrutenett">
    <w:name w:val="Table Grid"/>
    <w:basedOn w:val="Vanligtabel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semiHidden/>
    <w:unhideWhenUsed/>
    <w:pPr>
      <w:spacing w:after="0" w:line="240" w:lineRule="auto"/>
    </w:pPr>
    <w:rPr>
      <w:rFonts w:cs="Consolas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semiHidden/>
    <w:rPr>
      <w:rFonts w:ascii="Calibri" w:eastAsia="Calibri" w:hAnsi="Calibri" w:cs="Consolas"/>
      <w:szCs w:val="21"/>
      <w:lang w:val="nb-NO"/>
    </w:rPr>
  </w:style>
  <w:style w:type="character" w:customStyle="1" w:styleId="Overskrift1Tegn">
    <w:name w:val="Overskrift 1 Tegn"/>
    <w:basedOn w:val="Standardskriftforavsnitt"/>
    <w:link w:val="Overskrift1"/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Listeavsnitt">
    <w:name w:val="List Paragraph"/>
    <w:basedOn w:val="Normal"/>
    <w:qFormat/>
    <w:pPr>
      <w:ind w:left="720"/>
      <w:contextualSpacing/>
    </w:pPr>
  </w:style>
  <w:style w:type="paragraph" w:customStyle="1" w:styleId="TQMDocxPublishingHeaderDocumentIDStyleName">
    <w:name w:val="TQM_DocxPublishingHeaderDocumentIDStyleName"/>
    <w:basedOn w:val="Normal"/>
    <w:next w:val="Normal"/>
    <w:pPr>
      <w:spacing w:after="0" w:line="200" w:lineRule="exact"/>
    </w:pPr>
    <w:rPr>
      <w:rFonts w:ascii="Arial" w:eastAsia="Arial" w:hAnsi="Arial" w:cs="Arial"/>
      <w:sz w:val="18"/>
    </w:rPr>
  </w:style>
  <w:style w:type="paragraph" w:customStyle="1" w:styleId="TQMDocxPublishingHeaderDocumentNameStyleName">
    <w:name w:val="TQM_DocxPublishingHeaderDocumentNameStyleName"/>
    <w:basedOn w:val="Normal"/>
    <w:next w:val="Normal"/>
    <w:pPr>
      <w:spacing w:after="0" w:line="200" w:lineRule="exact"/>
    </w:pPr>
    <w:rPr>
      <w:rFonts w:ascii="Arial" w:eastAsia="Arial" w:hAnsi="Arial" w:cs="Arial"/>
      <w:b/>
      <w:sz w:val="24"/>
    </w:rPr>
  </w:style>
  <w:style w:type="paragraph" w:customStyle="1" w:styleId="TQMDocxPublishingHeaderDocumentInfoStyleName">
    <w:name w:val="TQM_DocxPublishingHeaderDocumentInfoStyleName"/>
    <w:basedOn w:val="Normal"/>
    <w:next w:val="Normal"/>
    <w:pPr>
      <w:spacing w:after="0" w:line="200" w:lineRule="exact"/>
    </w:pPr>
    <w:rPr>
      <w:rFonts w:ascii="Arial" w:eastAsia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1807154AD0B4BBC82B1F732061D8E" ma:contentTypeVersion="7" ma:contentTypeDescription="Opprett et nytt dokument." ma:contentTypeScope="" ma:versionID="a3a7c21dc71f3b79aabef2c3b5f67aad">
  <xsd:schema xmlns:xsd="http://www.w3.org/2001/XMLSchema" xmlns:xs="http://www.w3.org/2001/XMLSchema" xmlns:p="http://schemas.microsoft.com/office/2006/metadata/properties" xmlns:ns3="85708b9b-2a25-4a29-9251-64f7041ca9fe" targetNamespace="http://schemas.microsoft.com/office/2006/metadata/properties" ma:root="true" ma:fieldsID="86240eb880f008b3ba7f64ad198aa0e3" ns3:_="">
    <xsd:import namespace="85708b9b-2a25-4a29-9251-64f7041ca9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08b9b-2a25-4a29-9251-64f7041ca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35871-5108-4C18-A6E7-E4F23B901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08b9b-2a25-4a29-9251-64f7041ca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1F4D36-36F7-43B7-80C9-16872EA685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72D26-38E7-4129-87AC-011FD2551F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1BBE46-E688-4852-98CC-9E8B63C8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Birkenes kommune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 Hellen Bergland</dc:creator>
  <cp:lastModifiedBy>Silje Skeie Stray</cp:lastModifiedBy>
  <cp:revision>2</cp:revision>
  <dcterms:created xsi:type="dcterms:W3CDTF">2020-04-20T06:45:00Z</dcterms:created>
  <dcterms:modified xsi:type="dcterms:W3CDTF">2020-04-20T06:45:00Z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0x010100EC51807154AD0B4BBC82B1F732061D8E</vt:lpwstr>
  </property>
</Properties>
</file>